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br/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об оказании платной дополнительной услуги «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Эврика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_город </w:t>
      </w:r>
      <w:r>
        <w:rPr>
          <w:rFonts w:ascii="Times New Roman" w:hAnsi="Times New Roman" w:cs="Times New Roman"/>
          <w:u w:val="single"/>
        </w:rPr>
        <w:t xml:space="preserve">Н.Новгород</w:t>
      </w:r>
      <w:r>
        <w:rPr>
          <w:rFonts w:ascii="Times New Roman" w:hAnsi="Times New Roman" w:cs="Times New Roman"/>
          <w:u w:val="single"/>
        </w:rPr>
        <w:t xml:space="preserve">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u w:val="single"/>
        </w:rPr>
        <w:t xml:space="preserve"> "11"       сентября    2024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(место заключения договора)                                                                          (дата заключения договора)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Частное  общеобразовательное учреждение религиозной организации Нижегородская Епархия Русской Православной Церкви  (Московский патриархат)" "Сормовская православная  гимназия имени святого апостола и евангелиста Иоанна Богослова», </w:t>
      </w:r>
      <w:r>
        <w:rPr>
          <w:rFonts w:ascii="Times New Roman" w:hAnsi="Times New Roman"/>
          <w:sz w:val="20"/>
          <w:szCs w:val="20"/>
        </w:rPr>
        <w:t xml:space="preserve">г.Н.Новгород</w:t>
      </w:r>
      <w:r>
        <w:rPr>
          <w:rFonts w:ascii="Times New Roman" w:hAnsi="Times New Roman"/>
          <w:sz w:val="20"/>
          <w:szCs w:val="20"/>
        </w:rPr>
        <w:t xml:space="preserve">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ул</w:t>
      </w:r>
      <w:r>
        <w:rPr>
          <w:rFonts w:ascii="Times New Roman" w:hAnsi="Times New Roman"/>
          <w:sz w:val="20"/>
          <w:szCs w:val="20"/>
        </w:rPr>
        <w:t xml:space="preserve"> .</w:t>
      </w:r>
      <w:r>
        <w:rPr>
          <w:rFonts w:ascii="Times New Roman" w:hAnsi="Times New Roman"/>
          <w:sz w:val="20"/>
          <w:szCs w:val="20"/>
        </w:rPr>
        <w:t xml:space="preserve">Иванова д.63, осуществляющая  образовательную   деятельность   (далее  -  образовательная организация) на основании лицензии 52А 01 № 0002389 </w:t>
      </w:r>
      <w:r>
        <w:rPr>
          <w:rFonts w:ascii="Times New Roman" w:hAnsi="Times New Roman"/>
          <w:b/>
          <w:sz w:val="20"/>
          <w:szCs w:val="20"/>
        </w:rPr>
        <w:t xml:space="preserve">,</w:t>
      </w:r>
      <w:r>
        <w:rPr>
          <w:rFonts w:ascii="Times New Roman" w:hAnsi="Times New Roman"/>
          <w:sz w:val="20"/>
          <w:szCs w:val="20"/>
        </w:rPr>
        <w:t xml:space="preserve"> выданной Министерством образования Нижегородской области </w:t>
      </w:r>
      <w:r>
        <w:rPr>
          <w:rFonts w:ascii="Times New Roman" w:hAnsi="Times New Roman"/>
          <w:b/>
          <w:sz w:val="20"/>
          <w:szCs w:val="20"/>
        </w:rPr>
        <w:t xml:space="preserve">от 30.05.2016г,</w:t>
      </w:r>
      <w:r>
        <w:rPr>
          <w:rFonts w:ascii="Times New Roman" w:hAnsi="Times New Roman"/>
          <w:sz w:val="20"/>
          <w:szCs w:val="20"/>
        </w:rPr>
        <w:t xml:space="preserve"> именуемое в дальнейшем "Исполнитель", </w:t>
      </w:r>
      <w:r>
        <w:rPr>
          <w:rFonts w:ascii="Times New Roman" w:hAnsi="Times New Roman"/>
          <w:sz w:val="20"/>
          <w:szCs w:val="20"/>
        </w:rPr>
        <w:t xml:space="preserve">в лице директора   </w:t>
      </w:r>
      <w:r>
        <w:rPr>
          <w:rFonts w:ascii="Times New Roman" w:hAnsi="Times New Roman"/>
          <w:sz w:val="20"/>
          <w:szCs w:val="20"/>
        </w:rPr>
        <w:t xml:space="preserve">Худина</w:t>
      </w:r>
      <w:r>
        <w:rPr>
          <w:rFonts w:ascii="Times New Roman" w:hAnsi="Times New Roman"/>
          <w:sz w:val="20"/>
          <w:szCs w:val="20"/>
        </w:rPr>
        <w:t xml:space="preserve"> Е.В., действующего</w:t>
      </w:r>
      <w:r>
        <w:rPr>
          <w:rFonts w:ascii="Times New Roman" w:hAnsi="Times New Roman"/>
          <w:sz w:val="20"/>
          <w:szCs w:val="20"/>
        </w:rPr>
        <w:t xml:space="preserve"> на основании Устава  гимназии  и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(фамилия, имя, отчество (при наличии) законного представителя  несовершеннолетнего лица, зачисляемого на обучение) именуемы</w:t>
      </w:r>
      <w:r>
        <w:rPr>
          <w:rFonts w:ascii="Times New Roman" w:hAnsi="Times New Roman" w:cs="Times New Roman"/>
        </w:rPr>
        <w:t xml:space="preserve">й(</w:t>
      </w:r>
      <w:r>
        <w:rPr>
          <w:rFonts w:ascii="Times New Roman" w:hAnsi="Times New Roman" w:cs="Times New Roman"/>
        </w:rPr>
        <w:t xml:space="preserve">ая</w:t>
      </w:r>
      <w:r>
        <w:rPr>
          <w:rFonts w:ascii="Times New Roman" w:hAnsi="Times New Roman" w:cs="Times New Roman"/>
        </w:rPr>
        <w:t xml:space="preserve">)  в дальнейшем "Заказчик", действующий в интересах несовершеннолетнего    _______________________________________________________________________________________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(фамилия, имя, отчество (при наличии)  лица, зачисляемого на обучение)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1"/>
        <w:rPr>
          <w:sz w:val="18"/>
          <w:szCs w:val="18"/>
        </w:rPr>
      </w:pPr>
      <w:r>
        <w:rPr>
          <w:sz w:val="20"/>
          <w:szCs w:val="20"/>
        </w:rPr>
        <w:t xml:space="preserve">именуемог</w:t>
      </w:r>
      <w:r>
        <w:rPr>
          <w:sz w:val="20"/>
          <w:szCs w:val="20"/>
        </w:rPr>
        <w:t xml:space="preserve">о(</w:t>
      </w:r>
      <w:r>
        <w:rPr>
          <w:sz w:val="20"/>
          <w:szCs w:val="20"/>
        </w:rPr>
        <w:t xml:space="preserve">ой)  в да</w:t>
      </w:r>
      <w:r>
        <w:rPr>
          <w:sz w:val="20"/>
          <w:szCs w:val="20"/>
        </w:rPr>
        <w:t xml:space="preserve">льнейшем "Обучающийся",  совместно именуемые Стороны, заключили  в соответствии с Гражданским кодексом Российской Федерации, Федеральным законом «Об образовании в Российской Федерации», законом РФ «О защите прав потребителей» от 07.02.1992 №2300-1, а также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Правилами оказания платных образовательных услуг, утвержденными постановлением Правительства РФ от 15 сентября 2020 г. №1441 «Об утверждении правил оказания платных образовательных услуг»,</w:t>
      </w:r>
      <w:r>
        <w:rPr>
          <w:sz w:val="20"/>
          <w:szCs w:val="20"/>
        </w:rPr>
        <w:t xml:space="preserve"> настоящий договор о нижеследующем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I. Предмет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1.1.  Исполнитель   обязуется   предоставить   образовательную  услугу, а   Заказчик   обязуется   оплатить образовательную услугу – курс «</w:t>
      </w:r>
      <w:r>
        <w:rPr>
          <w:rFonts w:ascii="Times New Roman" w:hAnsi="Times New Roman" w:cs="Times New Roman"/>
        </w:rPr>
        <w:t xml:space="preserve">Эврика</w:t>
      </w:r>
      <w:r>
        <w:rPr>
          <w:rFonts w:ascii="Times New Roman" w:hAnsi="Times New Roman" w:cs="Times New Roman"/>
        </w:rPr>
        <w:t xml:space="preserve">», организуемую в очной форме по дополнительной</w:t>
      </w:r>
      <w:r>
        <w:rPr>
          <w:rFonts w:ascii="Times New Roman" w:hAnsi="Times New Roman" w:cs="Times New Roman"/>
        </w:rPr>
        <w:t xml:space="preserve"> образовательной</w:t>
      </w:r>
      <w:r>
        <w:rPr>
          <w:rFonts w:ascii="Times New Roman" w:hAnsi="Times New Roman" w:cs="Times New Roman"/>
        </w:rPr>
        <w:t xml:space="preserve">  программе.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1.2. Срок освоения дополнительной   программы «</w:t>
      </w:r>
      <w:r>
        <w:rPr>
          <w:rFonts w:ascii="Times New Roman" w:hAnsi="Times New Roman" w:cs="Times New Roman"/>
        </w:rPr>
        <w:t xml:space="preserve">Эврика</w:t>
      </w:r>
      <w:r>
        <w:rPr>
          <w:rFonts w:ascii="Times New Roman" w:hAnsi="Times New Roman" w:cs="Times New Roman"/>
        </w:rPr>
        <w:t xml:space="preserve">» на момент подписания Договора составляет </w:t>
      </w:r>
      <w:r>
        <w:rPr>
          <w:rFonts w:ascii="Times New Roman" w:hAnsi="Times New Roman" w:cs="Times New Roman"/>
          <w:b/>
        </w:rPr>
        <w:t xml:space="preserve">8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месяцев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(с 16 сентября 2024 г</w:t>
      </w:r>
      <w:r>
        <w:rPr>
          <w:rFonts w:ascii="Times New Roman" w:hAnsi="Times New Roman" w:cs="Times New Roman"/>
          <w:highlight w:val="none"/>
        </w:rPr>
        <w:t xml:space="preserve">ода по 16 мая 2025 года).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8"/>
        <w:ind w:right="102" w:firstLine="142"/>
        <w:jc w:val="both"/>
        <w:spacing w:before="1"/>
        <w:tabs>
          <w:tab w:val="left" w:pos="426" w:leader="none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1.3.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Общее количество часов за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курс обучения 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–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31  час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 (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П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р</w:t>
      </w:r>
      <w:r>
        <w:rPr>
          <w:rFonts w:ascii="Times New Roman" w:hAnsi="Times New Roman" w:cs="Times New Roman"/>
          <w:sz w:val="20"/>
          <w:szCs w:val="20"/>
          <w:highlight w:val="white"/>
          <w:lang w:val="ru-RU"/>
        </w:rPr>
        <w:t xml:space="preserve">ило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жение 1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). После освоения дополнительной образовательной программы документ не выдается. Специфики у данной платной образовательной услуги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нет.</w:t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II. Права Исполнителя, Заказчика и Обучающегося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Исполнитель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сроки освоения дополнительной   программы «</w:t>
      </w:r>
      <w:r>
        <w:rPr>
          <w:rFonts w:ascii="Times New Roman" w:hAnsi="Times New Roman" w:cs="Times New Roman"/>
        </w:rPr>
        <w:t xml:space="preserve">Эврика</w:t>
      </w:r>
      <w:r>
        <w:rPr>
          <w:rFonts w:ascii="Times New Roman" w:hAnsi="Times New Roman" w:cs="Times New Roman"/>
        </w:rPr>
        <w:t xml:space="preserve">», определять формы организации занятий, методы и приемы обучения, соответствующие возрасту Обучающегося.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tooltip="Ссылка на текущий документ" w:anchor="Par72" w:history="1">
        <w:r>
          <w:rPr>
            <w:rStyle w:val="847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1" w:tooltip="Ссылка на текущий документ" w:anchor="Par72" w:history="1">
        <w:r>
          <w:rPr>
            <w:rStyle w:val="847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2.2.4. Получать полную и достоверную информацию о поведении, отношении Обучающегося к занятиям, и его способностях и достижениях по отдельным предметам Учебного плана.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r>
        <w:rPr>
          <w:rFonts w:ascii="Times New Roman" w:hAnsi="Times New Roman" w:cs="Times New Roman"/>
        </w:rPr>
        <w:t xml:space="preserve">2012 г</w:t>
      </w:r>
      <w:r>
        <w:rPr>
          <w:rFonts w:ascii="Times New Roman" w:hAnsi="Times New Roman" w:cs="Times New Roman"/>
        </w:rPr>
        <w:t xml:space="preserve">. № 273-ФЗ "Об образовании в Российской Федерации". Обучающийся также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III. Обязанности Исполнителя, Заказчика и Обучающегося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Исполнитель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    Зачислить     Обучающегося,   при условии подписания Заказчиком настоящего Договора,  на курс «</w:t>
      </w:r>
      <w:r>
        <w:rPr>
          <w:rFonts w:ascii="Times New Roman" w:hAnsi="Times New Roman" w:cs="Times New Roman"/>
        </w:rPr>
        <w:t xml:space="preserve">Эврика</w:t>
      </w:r>
      <w:r>
        <w:rPr>
          <w:rFonts w:ascii="Times New Roman" w:hAnsi="Times New Roman" w:cs="Times New Roman"/>
        </w:rPr>
        <w:t xml:space="preserve">»,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Довест</w:t>
      </w:r>
      <w:r>
        <w:rPr>
          <w:rFonts w:ascii="Times New Roman" w:hAnsi="Times New Roman" w:cs="Times New Roman"/>
        </w:rPr>
        <w:t xml:space="preserve">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2" w:tooltip="Ссылка на текущий документ" w:anchor="Par72" w:history="1">
        <w:r>
          <w:rPr>
            <w:rStyle w:val="847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t xml:space="preserve"> </w:t>
      </w:r>
      <w:r>
        <w:rPr>
          <w:rFonts w:ascii="Times New Roman" w:hAnsi="Times New Roman" w:cs="Times New Roman"/>
        </w:rPr>
        <w:t xml:space="preserve">настоящего Договора. Образовательные услуги оказываются в соответствии с дополнительной </w:t>
      </w:r>
      <w:r>
        <w:rPr>
          <w:rFonts w:ascii="Times New Roman" w:hAnsi="Times New Roman" w:cs="Times New Roman"/>
        </w:rPr>
        <w:t xml:space="preserve">программой "</w:t>
      </w:r>
      <w:r>
        <w:rPr>
          <w:rFonts w:ascii="Times New Roman" w:hAnsi="Times New Roman" w:cs="Times New Roman"/>
        </w:rPr>
        <w:t xml:space="preserve">Эврика</w:t>
      </w:r>
      <w:r>
        <w:rPr>
          <w:rFonts w:ascii="Times New Roman" w:hAnsi="Times New Roman" w:cs="Times New Roman"/>
        </w:rPr>
        <w:t xml:space="preserve">", учебным планом и расписанием занятий.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Обеспечить </w:t>
      </w:r>
      <w:r>
        <w:rPr>
          <w:rFonts w:ascii="Times New Roman" w:hAnsi="Times New Roman" w:cs="Times New Roman"/>
        </w:rPr>
        <w:t xml:space="preserve">Обучающемуся</w:t>
      </w:r>
      <w:r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</w:t>
      </w:r>
      <w:r>
        <w:rPr>
          <w:rFonts w:ascii="Times New Roman" w:hAnsi="Times New Roman" w:cs="Times New Roman"/>
        </w:rPr>
        <w:t xml:space="preserve">Сохранить место за Обучающимся в случае пропуска занятий по уважительным причинам.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3.1.6. Принимать от  учащегося  и (или) Заказчика плату за образовательные услуги.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Заказчик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13" w:tooltip="Ссылка на текущий документ" w:anchor="Par72" w:history="1">
        <w:r>
          <w:rPr>
            <w:rStyle w:val="847"/>
            <w:rFonts w:ascii="Times New Roman" w:hAnsi="Times New Roman" w:cs="Times New Roman"/>
            <w:color w:val="auto"/>
            <w:u w:val="none"/>
          </w:rPr>
          <w:t xml:space="preserve">разделе I</w:t>
        </w:r>
      </w:hyperlink>
      <w:r>
        <w:rPr>
          <w:rFonts w:ascii="Times New Roman" w:hAnsi="Times New Roman" w:cs="Times New Roman"/>
        </w:rPr>
        <w:t xml:space="preserve"> настоящего Договора, в размере и порядке, </w:t>
      </w:r>
      <w:r>
        <w:rPr>
          <w:rFonts w:ascii="Times New Roman" w:hAnsi="Times New Roman" w:cs="Times New Roman"/>
        </w:rPr>
        <w:t xml:space="preserve">определенных</w:t>
      </w:r>
      <w:r>
        <w:rPr>
          <w:rFonts w:ascii="Times New Roman" w:hAnsi="Times New Roman" w:cs="Times New Roman"/>
        </w:rPr>
        <w:t xml:space="preserve"> настоящим Договором, а также своевременно  предоставлять платежные документы, подтверждающие такую оплату.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Извещать Исполнителя о причинах отсутствия  Обучающегося на занятиях.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Обучающийся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 Соблюдать требования, установленные в статье 43 Федерального закона от 29 декабря </w:t>
      </w:r>
      <w:r>
        <w:rPr>
          <w:rFonts w:ascii="Times New Roman" w:hAnsi="Times New Roman" w:cs="Times New Roman"/>
        </w:rPr>
        <w:t xml:space="preserve">2012 г</w:t>
      </w:r>
      <w:r>
        <w:rPr>
          <w:rFonts w:ascii="Times New Roman" w:hAnsi="Times New Roman" w:cs="Times New Roman"/>
        </w:rPr>
        <w:t xml:space="preserve">. № 273-ФЗ "Об образовании в Российской Федерации", в том числе: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Выполнять задания для подготовки к занятиям, предусмотренным учебным планом.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t xml:space="preserve">3.3.3</w:t>
      </w:r>
      <w:r>
        <w:rPr>
          <w:rFonts w:ascii="Times New Roman" w:hAnsi="Times New Roman" w:cs="Times New Roman"/>
        </w:rPr>
        <w:t xml:space="preserve">. Обучаться в образовательной организации по дополнительно</w:t>
      </w:r>
      <w:r>
        <w:rPr>
          <w:rFonts w:ascii="Times New Roman" w:hAnsi="Times New Roman" w:cs="Times New Roman"/>
          <w:highlight w:val="white"/>
        </w:rPr>
        <w:t xml:space="preserve">й</w:t>
      </w:r>
      <w:r>
        <w:rPr>
          <w:rFonts w:ascii="Times New Roman" w:hAnsi="Times New Roman" w:cs="Times New Roman"/>
          <w:highlight w:val="white"/>
        </w:rPr>
        <w:t xml:space="preserve"> о</w:t>
      </w:r>
      <w:r>
        <w:rPr>
          <w:rFonts w:ascii="Times New Roman" w:hAnsi="Times New Roman" w:cs="Times New Roman"/>
          <w:highlight w:val="white"/>
        </w:rPr>
        <w:t xml:space="preserve">бразовательной</w:t>
      </w:r>
      <w:r>
        <w:rPr>
          <w:rFonts w:ascii="Times New Roman" w:hAnsi="Times New Roman" w:cs="Times New Roman"/>
        </w:rPr>
        <w:t xml:space="preserve"> программе "</w:t>
      </w:r>
      <w:r>
        <w:rPr>
          <w:rFonts w:ascii="Times New Roman" w:hAnsi="Times New Roman" w:cs="Times New Roman"/>
        </w:rPr>
        <w:t xml:space="preserve">Эврика</w:t>
      </w:r>
      <w:r>
        <w:rPr>
          <w:rFonts w:ascii="Times New Roman" w:hAnsi="Times New Roman" w:cs="Times New Roman"/>
        </w:rPr>
        <w:t xml:space="preserve">".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3.3.4.Соблюдать требования учредительных документов, правила внутреннего распорядка и иные локальные нормативные акты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tabs>
          <w:tab w:val="left" w:pos="1851" w:leader="none"/>
          <w:tab w:val="left" w:pos="2127" w:leader="none"/>
          <w:tab w:val="center" w:pos="4677" w:leader="none"/>
        </w:tabs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    IV. Стоимость услуг, сроки и порядок их оплаты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3"/>
        <w:ind w:right="60" w:firstLine="0"/>
        <w:jc w:val="left"/>
        <w:spacing w:before="0" w:after="0" w:line="240" w:lineRule="auto"/>
        <w:shd w:val="clear" w:color="auto" w:fill="auto"/>
        <w:tabs>
          <w:tab w:val="left" w:pos="58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Стоимость </w:t>
      </w:r>
      <w:r>
        <w:rPr>
          <w:rFonts w:ascii="Times New Roman" w:hAnsi="Times New Roman" w:cs="Times New Roman"/>
          <w:sz w:val="20"/>
          <w:szCs w:val="20"/>
        </w:rPr>
        <w:t xml:space="preserve">одного </w:t>
      </w:r>
      <w:r>
        <w:rPr>
          <w:rFonts w:ascii="Times New Roman" w:hAnsi="Times New Roman" w:cs="Times New Roman"/>
          <w:sz w:val="20"/>
          <w:szCs w:val="20"/>
        </w:rPr>
        <w:t xml:space="preserve">занятия 280</w:t>
      </w:r>
      <w:r>
        <w:rPr>
          <w:rFonts w:ascii="Times New Roman" w:hAnsi="Times New Roman" w:cs="Times New Roman"/>
          <w:sz w:val="20"/>
          <w:szCs w:val="20"/>
        </w:rPr>
        <w:t xml:space="preserve"> рублей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стоимость годового ку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рс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8680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cs="Times New Roman"/>
          <w:sz w:val="20"/>
          <w:szCs w:val="20"/>
          <w:highlight w:val="white"/>
        </w:rPr>
        <w:t xml:space="preserve">рубл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е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й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(При</w:t>
      </w:r>
      <w:r>
        <w:rPr>
          <w:rFonts w:ascii="Times New Roman" w:hAnsi="Times New Roman" w:cs="Times New Roman"/>
          <w:sz w:val="20"/>
          <w:szCs w:val="20"/>
        </w:rPr>
        <w:t xml:space="preserve">ложение 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3"/>
        <w:ind w:firstLine="0"/>
        <w:jc w:val="left"/>
        <w:spacing w:before="0" w:after="0" w:line="240" w:lineRule="auto"/>
        <w:shd w:val="clear" w:color="auto" w:fill="auto"/>
        <w:tabs>
          <w:tab w:val="left" w:pos="55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4.2.Оплата за занятия</w:t>
      </w:r>
      <w:r>
        <w:rPr>
          <w:rFonts w:ascii="Times New Roman" w:hAnsi="Times New Roman" w:cs="Times New Roman"/>
          <w:sz w:val="20"/>
          <w:szCs w:val="20"/>
        </w:rPr>
        <w:t xml:space="preserve"> осуществляется по безналичному расчету через учреждения банка в срок до 10 числа текущего месяца на расчетный счет Гимназии (реквизиты указаны в разделе 9 настоящего договора).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4.3.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При непосещении Обучающимся  кружка по причинам болезни (более 1 недели на основании справки), карантина, каникул, внесенная за время посещения плата засчитывается в последующие платежи.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Во всех других случаях  отсутствия Обучающегося, плата за услугу взимается полностью.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V. Порядок предоставления льгот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5.</w:t>
      </w:r>
      <w:r>
        <w:rPr>
          <w:rFonts w:ascii="Times New Roman" w:hAnsi="Times New Roman" w:cs="Times New Roman"/>
          <w:sz w:val="20"/>
          <w:szCs w:val="20"/>
        </w:rPr>
        <w:t xml:space="preserve">1. Размер оплаты снижается на 15</w:t>
      </w:r>
      <w:r>
        <w:rPr>
          <w:rFonts w:ascii="Times New Roman" w:hAnsi="Times New Roman" w:cs="Times New Roman"/>
          <w:sz w:val="20"/>
          <w:szCs w:val="20"/>
        </w:rPr>
        <w:t xml:space="preserve">% для следующих категорий учащихся: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- Дети из многодетных семей</w:t>
      </w:r>
      <w:r>
        <w:rPr>
          <w:rFonts w:ascii="Times New Roman" w:hAnsi="Times New Roman" w:cs="Times New Roman"/>
          <w:sz w:val="20"/>
          <w:szCs w:val="20"/>
        </w:rPr>
        <w:t xml:space="preserve">, имеющие трех или более детей;</w:t>
      </w:r>
      <w:r>
        <w:rPr>
          <w:rFonts w:ascii="Times New Roman" w:hAnsi="Times New Roman" w:cs="Times New Roman"/>
          <w:sz w:val="20"/>
          <w:szCs w:val="20"/>
        </w:rPr>
        <w:br/>
        <w:t xml:space="preserve">       - Дети, оставшиеся без попечения родителей (опекаемые)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V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b/>
          <w:sz w:val="20"/>
          <w:szCs w:val="20"/>
        </w:rPr>
        <w:t xml:space="preserve">. Основания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  <w:br/>
        <w:t xml:space="preserve">6.2. Настоящий </w:t>
      </w:r>
      <w:r>
        <w:rPr>
          <w:rFonts w:ascii="Times New Roman" w:hAnsi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  <w:br/>
        <w:t xml:space="preserve">6.3. Настоящий </w:t>
      </w:r>
      <w:r>
        <w:rPr>
          <w:rFonts w:ascii="Times New Roman" w:hAnsi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84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просрочки оплаты стоимости платных образовательных услуг;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6</w:t>
      </w:r>
      <w:r>
        <w:rPr>
          <w:rFonts w:ascii="Times New Roman" w:hAnsi="Times New Roman" w:cs="Times New Roman"/>
        </w:rPr>
        <w:t xml:space="preserve">.4. Настоящий Договор расторгается досрочно: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Исполнитель вправе отказаться от исполнения обязательств по Договору при условии полного возмещения Заказчику убытков.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VI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. Ответственность Исполнителя, Заказчика и Обучающегося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7.2.1. Безвозмездного оказания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7.2.2. Соразмерного уменьшения стоимости оказанной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Заказчик вправе отказаться от исполнения Договора и потребовать полного возмещения убытков, если в 30-ти  </w:t>
      </w:r>
      <w:r>
        <w:rPr>
          <w:rFonts w:ascii="Times New Roman" w:hAnsi="Times New Roman" w:cs="Times New Roman"/>
        </w:rPr>
        <w:t xml:space="preserve">дневный</w:t>
      </w:r>
      <w:r>
        <w:rPr>
          <w:rFonts w:ascii="Times New Roman" w:hAnsi="Times New Roman" w:cs="Times New Roman"/>
        </w:rPr>
        <w:t xml:space="preserve"> сро</w:t>
      </w:r>
      <w:r>
        <w:rPr>
          <w:rFonts w:ascii="Times New Roman" w:hAnsi="Times New Roman" w:cs="Times New Roman"/>
        </w:rPr>
        <w:t xml:space="preserve">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Если Исполнитель нарушил сроки оказания образовательной услуги (сроки н</w:t>
      </w:r>
      <w:r>
        <w:rPr>
          <w:rFonts w:ascii="Times New Roman" w:hAnsi="Times New Roman" w:cs="Times New Roman"/>
        </w:rPr>
        <w:t xml:space="preserve">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7.4.3. Потребовать уменьшения стоимости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7.4.4. Расторгнуть Договор.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7.6. Исполнитель возвращает Заказчику деньги, внесённые за обучение, или компенсирует индивидуальными консультациями пропуски занятий в случае болезни ребёнка более одного месяца.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center"/>
        <w:tabs>
          <w:tab w:val="left" w:pos="2977" w:leader="none"/>
        </w:tabs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VII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. Срок действия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Настоящий Договор вступает в силу со дня его заключения Сторонами и действует до полного исполнения Сторонами обязательств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  <w:br/>
        <w:t xml:space="preserve">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  <w:lang w:val="en-US"/>
        </w:rPr>
        <w:t xml:space="preserve">IX</w:t>
      </w:r>
      <w:r>
        <w:rPr>
          <w:rFonts w:ascii="Times New Roman" w:hAnsi="Times New Roman" w:cs="Times New Roman"/>
          <w:b/>
        </w:rPr>
        <w:t xml:space="preserve">. Заключительные положения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Под периодом предоставления образовательной услуги (периодом обучения) понимается промежуток времени с даты издания </w:t>
      </w:r>
      <w:r>
        <w:rPr>
          <w:rFonts w:ascii="Times New Roman" w:hAnsi="Times New Roman" w:cs="Times New Roman"/>
        </w:rPr>
        <w:t xml:space="preserve">приказа</w:t>
      </w:r>
      <w:r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Настоящий Договор составлен в </w:t>
      </w:r>
      <w:r>
        <w:rPr>
          <w:rFonts w:ascii="Times New Roman" w:hAnsi="Times New Roman" w:cs="Times New Roman"/>
          <w:b/>
          <w:u w:val="single"/>
        </w:rPr>
        <w:t xml:space="preserve">2 (двух)</w:t>
      </w:r>
      <w:r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Изменения Договора оформляются дополнительными соглашениями к Договору.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b/>
        </w:rPr>
        <w:t xml:space="preserve"> X. Адреса и реквизиты сторон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pPr w:horzAnchor="page" w:tblpX="6898" w:vertAnchor="text" w:tblpY="1019" w:leftFromText="180" w:topFromText="0" w:rightFromText="180" w:bottomFromText="200"/>
        <w:tblW w:w="4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480"/>
      </w:tblGrid>
      <w:tr>
        <w:tblPrEx/>
        <w:trPr>
          <w:trHeight w:val="441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Заказчик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(Ф.И.О)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серия ______ номер______________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Выдан «____»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Дом.адрес: 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 (дом., сот.)__________________________________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  /__________________________ /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44"/>
              <w:jc w:val="right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«11» сентября 2024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tbl>
      <w:tblPr>
        <w:tblpPr w:horzAnchor="page" w:tblpX="763" w:vertAnchor="text" w:tblpY="1031" w:leftFromText="180" w:topFromText="0" w:rightFromText="180" w:bottomFromText="20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5341"/>
      </w:tblGrid>
      <w:tr>
        <w:tblPrEx/>
        <w:trPr>
          <w:trHeight w:val="43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Гимназия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Частное  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религиозной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«НИЖЕГОРОДСКАЯ ЕПАРХИЯ РУССКОЙ ПРАВОСЛАВНОЙ ЦЕРКВИ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(МОСКОВСКИЙ ПАТРИАРХАТ)"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"СОРМОВСКАЯ ПРАВОСЛАВНАЯ ГИМНАЗИЯ ИМЕНИ СВЯТОГО АПОСТОЛА 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ЕВАНГЕЛИСТА ИОАННА БОГОСЛОВА"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г.Н.Новгород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ул. Иванова,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д.63. ИНН/КПП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5263055464/526301001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Р/счет: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40703810842070000922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Волго-Вятский банк Сбербанка РФ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г.Н.Новгорода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К/счет: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30101810900000000603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042202603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4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___________________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Е.В.Худин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«11» сентября 2024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46"/>
        <w:jc w:val="center"/>
        <w:spacing w:after="240" w:line="240" w:lineRule="exact"/>
        <w:shd w:val="clear" w:color="auto" w:fill="auto"/>
        <w:tabs>
          <w:tab w:val="left" w:pos="4000" w:leader="none"/>
        </w:tabs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Рекви</w:t>
      </w:r>
      <w:r>
        <w:rPr>
          <w:rFonts w:ascii="Times New Roman" w:hAnsi="Times New Roman" w:cs="Times New Roman"/>
          <w:b/>
          <w:sz w:val="20"/>
          <w:szCs w:val="20"/>
        </w:rPr>
        <w:t xml:space="preserve">зиты сторон</w:t>
      </w:r>
      <w:r>
        <w:rPr>
          <w:b/>
          <w:sz w:val="20"/>
          <w:szCs w:val="20"/>
        </w:rPr>
        <w:t xml:space="preserve">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46"/>
        <w:ind w:hanging="567"/>
        <w:spacing w:before="0" w:after="252" w:line="240" w:lineRule="exact"/>
        <w:shd w:val="clear" w:color="auto" w:fill="auto"/>
        <w:tabs>
          <w:tab w:val="left" w:pos="2829" w:leader="none"/>
          <w:tab w:val="left" w:pos="9491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4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841"/>
        <w:jc w:val="right"/>
      </w:pPr>
      <w:r>
        <w:br/>
      </w:r>
      <w:r/>
    </w:p>
    <w:p>
      <w:pPr>
        <w:pStyle w:val="841"/>
        <w:jc w:val="right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Приложение 1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line="240" w:lineRule="auto"/>
        <w:tabs>
          <w:tab w:val="left" w:pos="5700" w:leader="none"/>
        </w:tabs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договору об оказании платной дополнительной услуги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«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Эврика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5700" w:leader="none"/>
        </w:tabs>
      </w:pPr>
      <w:r/>
      <w:r/>
    </w:p>
    <w:p>
      <w:pPr>
        <w:jc w:val="center"/>
        <w:tabs>
          <w:tab w:val="left" w:pos="57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СТОИМОСТЬ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на оказание платной дополнительной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услуги «</w:t>
      </w:r>
      <w:r>
        <w:rPr>
          <w:rFonts w:ascii="Times New Roman" w:hAnsi="Times New Roman" w:cs="Times New Roman"/>
          <w:sz w:val="28"/>
          <w:szCs w:val="28"/>
        </w:rPr>
        <w:t xml:space="preserve">Эврика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4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8680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0" w:hanging="283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283"/>
      </w:pPr>
      <w:rPr>
        <w:rFonts w:hint="default" w:ascii="Times New Roman" w:hAnsi="Times New Roman" w:eastAsia="Times New Roman"/>
        <w:spacing w:val="-2"/>
        <w:sz w:val="16"/>
        <w:szCs w:val="16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283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415" w:hanging="283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514" w:hanging="283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613" w:hanging="283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711" w:hanging="283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810" w:hanging="283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909" w:hanging="283"/>
      </w:pPr>
      <w:rPr>
        <w:rFonts w:hint="default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6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6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6"/>
    <w:link w:val="687"/>
    <w:uiPriority w:val="99"/>
  </w:style>
  <w:style w:type="paragraph" w:styleId="689">
    <w:name w:val="Footer"/>
    <w:basedOn w:val="83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6"/>
    <w:link w:val="689"/>
    <w:uiPriority w:val="99"/>
  </w:style>
  <w:style w:type="paragraph" w:styleId="691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PlusNonformat"/>
    <w:pPr>
      <w:spacing w:after="0" w:line="240" w:lineRule="auto"/>
      <w:widowControl w:val="off"/>
    </w:pPr>
    <w:rPr>
      <w:rFonts w:ascii="Courier New" w:hAnsi="Courier New" w:eastAsia="Calibri" w:cs="Courier New"/>
      <w:sz w:val="20"/>
      <w:szCs w:val="20"/>
    </w:rPr>
  </w:style>
  <w:style w:type="paragraph" w:styleId="840" w:customStyle="1">
    <w:name w:val="ConsPlusNormal"/>
    <w:pPr>
      <w:spacing w:after="0" w:line="240" w:lineRule="auto"/>
      <w:widowControl w:val="off"/>
    </w:pPr>
    <w:rPr>
      <w:rFonts w:ascii="Arial" w:hAnsi="Arial" w:eastAsia="Calibri" w:cs="Arial"/>
      <w:sz w:val="20"/>
      <w:szCs w:val="20"/>
    </w:rPr>
  </w:style>
  <w:style w:type="paragraph" w:styleId="84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42" w:customStyle="1">
    <w:name w:val="Основной текст_"/>
    <w:basedOn w:val="836"/>
    <w:link w:val="843"/>
    <w:rPr>
      <w:shd w:val="clear" w:color="auto" w:fill="ffffff"/>
    </w:rPr>
  </w:style>
  <w:style w:type="paragraph" w:styleId="843" w:customStyle="1">
    <w:name w:val="Основной текст3"/>
    <w:basedOn w:val="835"/>
    <w:link w:val="842"/>
    <w:pPr>
      <w:ind w:hanging="320"/>
      <w:jc w:val="both"/>
      <w:spacing w:before="540" w:after="180" w:line="278" w:lineRule="exact"/>
      <w:shd w:val="clear" w:color="auto" w:fill="ffffff"/>
    </w:pPr>
  </w:style>
  <w:style w:type="paragraph" w:styleId="844" w:customStyle="1">
    <w:name w:val="Без интервала1"/>
    <w:pPr>
      <w:spacing w:after="0" w:line="240" w:lineRule="auto"/>
    </w:pPr>
    <w:rPr>
      <w:rFonts w:ascii="Calibri" w:hAnsi="Calibri" w:eastAsia="Calibri" w:cs="Times New Roman"/>
    </w:rPr>
  </w:style>
  <w:style w:type="character" w:styleId="845" w:customStyle="1">
    <w:name w:val="Основной текст (2)_"/>
    <w:basedOn w:val="836"/>
    <w:link w:val="846"/>
    <w:rPr>
      <w:sz w:val="14"/>
      <w:szCs w:val="14"/>
      <w:shd w:val="clear" w:color="auto" w:fill="ffffff"/>
    </w:rPr>
  </w:style>
  <w:style w:type="paragraph" w:styleId="846" w:customStyle="1">
    <w:name w:val="Основной текст (2)"/>
    <w:basedOn w:val="835"/>
    <w:link w:val="845"/>
    <w:pPr>
      <w:spacing w:before="180" w:after="0" w:line="240" w:lineRule="atLeast"/>
      <w:shd w:val="clear" w:color="auto" w:fill="ffffff"/>
    </w:pPr>
    <w:rPr>
      <w:sz w:val="14"/>
      <w:szCs w:val="14"/>
    </w:rPr>
  </w:style>
  <w:style w:type="character" w:styleId="847">
    <w:name w:val="Hyperlink"/>
    <w:basedOn w:val="836"/>
    <w:uiPriority w:val="99"/>
    <w:semiHidden/>
    <w:unhideWhenUsed/>
    <w:rPr>
      <w:color w:val="0000ff"/>
      <w:u w:val="single"/>
    </w:rPr>
  </w:style>
  <w:style w:type="paragraph" w:styleId="848">
    <w:name w:val="List Paragraph"/>
    <w:basedOn w:val="835"/>
    <w:uiPriority w:val="99"/>
    <w:qFormat/>
    <w:pPr>
      <w:spacing w:after="0" w:line="240" w:lineRule="auto"/>
      <w:widowControl w:val="off"/>
    </w:pPr>
    <w:rPr>
      <w:rFonts w:ascii="Calibri" w:hAnsi="Calibri" w:eastAsia="Calibri" w:cs="Calibri"/>
      <w:lang w:val="en-US" w:eastAsia="en-US"/>
    </w:rPr>
  </w:style>
  <w:style w:type="table" w:styleId="849">
    <w:name w:val="Table Grid"/>
    <w:basedOn w:val="8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Balloon Text"/>
    <w:basedOn w:val="835"/>
    <w:link w:val="8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basedOn w:val="836"/>
    <w:link w:val="85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1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2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3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AD7D-B4F9-4273-86B3-E7AE40B1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Электронная Учительская</cp:lastModifiedBy>
  <cp:revision>5</cp:revision>
  <dcterms:created xsi:type="dcterms:W3CDTF">2023-09-11T14:31:00Z</dcterms:created>
  <dcterms:modified xsi:type="dcterms:W3CDTF">2024-09-19T13:28:37Z</dcterms:modified>
</cp:coreProperties>
</file>